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0C" w:rsidRPr="00E35C0C" w:rsidRDefault="00E35C0C" w:rsidP="00F126E8">
      <w:pPr>
        <w:pStyle w:val="NormalWeb"/>
        <w:shd w:val="clear" w:color="auto" w:fill="FFFFFF"/>
        <w:spacing w:before="120" w:beforeAutospacing="0" w:after="120" w:afterAutospacing="0" w:line="360" w:lineRule="auto"/>
        <w:jc w:val="both"/>
        <w:rPr>
          <w:rFonts w:asciiTheme="minorHAnsi" w:hAnsiTheme="minorHAnsi"/>
          <w:b/>
          <w:color w:val="222222"/>
          <w:sz w:val="22"/>
          <w:szCs w:val="22"/>
        </w:rPr>
      </w:pPr>
      <w:r w:rsidRPr="00E35C0C">
        <w:rPr>
          <w:rFonts w:asciiTheme="minorHAnsi" w:hAnsiTheme="minorHAnsi"/>
          <w:b/>
          <w:color w:val="222222"/>
          <w:sz w:val="22"/>
          <w:szCs w:val="22"/>
        </w:rPr>
        <w:t xml:space="preserve">Aristóteles, </w:t>
      </w:r>
      <w:r w:rsidRPr="00E35C0C">
        <w:rPr>
          <w:rFonts w:asciiTheme="minorHAnsi" w:hAnsiTheme="minorHAnsi"/>
          <w:b/>
          <w:i/>
          <w:color w:val="222222"/>
          <w:sz w:val="22"/>
          <w:szCs w:val="22"/>
        </w:rPr>
        <w:t>Física</w:t>
      </w:r>
      <w:r w:rsidRPr="00E35C0C">
        <w:rPr>
          <w:rFonts w:asciiTheme="minorHAnsi" w:hAnsiTheme="minorHAnsi"/>
          <w:b/>
          <w:color w:val="222222"/>
          <w:sz w:val="22"/>
          <w:szCs w:val="22"/>
        </w:rPr>
        <w:t xml:space="preserve"> I5</w:t>
      </w:r>
    </w:p>
    <w:p w:rsidR="00E35C0C" w:rsidRDefault="00E35C0C" w:rsidP="00F126E8">
      <w:pPr>
        <w:pStyle w:val="NormalWeb"/>
        <w:shd w:val="clear" w:color="auto" w:fill="FFFFFF"/>
        <w:spacing w:before="120" w:beforeAutospacing="0" w:after="120" w:afterAutospacing="0" w:line="360" w:lineRule="auto"/>
        <w:jc w:val="both"/>
        <w:rPr>
          <w:rFonts w:asciiTheme="minorHAnsi" w:hAnsiTheme="minorHAnsi"/>
          <w:color w:val="222222"/>
          <w:sz w:val="22"/>
          <w:szCs w:val="22"/>
        </w:rPr>
      </w:pPr>
    </w:p>
    <w:p w:rsidR="00E35C0C" w:rsidRDefault="00F126E8"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color w:val="222222"/>
          <w:sz w:val="22"/>
          <w:szCs w:val="22"/>
        </w:rPr>
        <w:t xml:space="preserve">En virtud del planteo metodológico que Aristóteles propone en </w:t>
      </w:r>
      <w:r w:rsidRPr="00E35C0C">
        <w:rPr>
          <w:rFonts w:asciiTheme="minorHAnsi" w:hAnsiTheme="minorHAnsi"/>
          <w:i/>
          <w:color w:val="222222"/>
          <w:sz w:val="22"/>
          <w:szCs w:val="22"/>
        </w:rPr>
        <w:t>Física</w:t>
      </w:r>
      <w:r w:rsidRPr="00E35C0C">
        <w:rPr>
          <w:rFonts w:asciiTheme="minorHAnsi" w:hAnsiTheme="minorHAnsi"/>
          <w:color w:val="222222"/>
          <w:sz w:val="22"/>
          <w:szCs w:val="22"/>
        </w:rPr>
        <w:t xml:space="preserve"> I1, distinga las estrategias que pueden detectarse en el cap. 5. </w:t>
      </w:r>
    </w:p>
    <w:p w:rsidR="00E35C0C" w:rsidRPr="00E35C0C" w:rsidRDefault="00F126E8"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 xml:space="preserve">¿Qué tienen de común los pensadores que precedieron a Aristóteles en la investigación acerca de los principios? </w:t>
      </w:r>
      <w:r w:rsidR="00E35C0C">
        <w:rPr>
          <w:rFonts w:asciiTheme="minorHAnsi" w:hAnsiTheme="minorHAnsi"/>
          <w:sz w:val="22"/>
          <w:szCs w:val="22"/>
        </w:rPr>
        <w:t>Recurra a</w:t>
      </w:r>
      <w:r w:rsidRPr="00E35C0C">
        <w:rPr>
          <w:rFonts w:asciiTheme="minorHAnsi" w:hAnsiTheme="minorHAnsi"/>
          <w:sz w:val="22"/>
          <w:szCs w:val="22"/>
        </w:rPr>
        <w:t xml:space="preserve"> los ejemplos que se ofrecen en el pasaje 1088a18-26</w:t>
      </w:r>
      <w:r w:rsidR="00E35C0C">
        <w:rPr>
          <w:rFonts w:asciiTheme="minorHAnsi" w:hAnsiTheme="minorHAnsi"/>
          <w:sz w:val="22"/>
          <w:szCs w:val="22"/>
        </w:rPr>
        <w:t>.</w:t>
      </w:r>
    </w:p>
    <w:p w:rsidR="00E35C0C" w:rsidRPr="00E35C0C" w:rsidRDefault="00F126E8"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Indique cómo define Aristóteles “principio” y cómo argumenta su asociación con los contrarios.</w:t>
      </w:r>
    </w:p>
    <w:p w:rsidR="00E35C0C" w:rsidRPr="00E35C0C" w:rsidRDefault="00F126E8"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Explique por qué ninguna cosa puede actuar sobre otra al azar. Recurra a alguno de los ejemplos que Aristóteles ofrece.</w:t>
      </w:r>
    </w:p>
    <w:p w:rsidR="00E35C0C" w:rsidRPr="00E35C0C" w:rsidRDefault="00F126E8"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Señale</w:t>
      </w:r>
      <w:r w:rsidR="00E35C0C">
        <w:rPr>
          <w:rFonts w:asciiTheme="minorHAnsi" w:hAnsiTheme="minorHAnsi"/>
          <w:sz w:val="22"/>
          <w:szCs w:val="22"/>
        </w:rPr>
        <w:t>: a)</w:t>
      </w:r>
      <w:r w:rsidRPr="00E35C0C">
        <w:rPr>
          <w:rFonts w:asciiTheme="minorHAnsi" w:hAnsiTheme="minorHAnsi"/>
          <w:sz w:val="22"/>
          <w:szCs w:val="22"/>
        </w:rPr>
        <w:t xml:space="preserve"> </w:t>
      </w:r>
      <w:r w:rsidR="00E35C0C">
        <w:rPr>
          <w:rFonts w:asciiTheme="minorHAnsi" w:hAnsiTheme="minorHAnsi"/>
          <w:sz w:val="22"/>
          <w:szCs w:val="22"/>
        </w:rPr>
        <w:t xml:space="preserve">a </w:t>
      </w:r>
      <w:r w:rsidRPr="00E35C0C">
        <w:rPr>
          <w:rFonts w:asciiTheme="minorHAnsi" w:hAnsiTheme="minorHAnsi"/>
          <w:sz w:val="22"/>
          <w:szCs w:val="22"/>
        </w:rPr>
        <w:t xml:space="preserve">qué </w:t>
      </w:r>
      <w:r w:rsidR="00E35C0C">
        <w:rPr>
          <w:rFonts w:asciiTheme="minorHAnsi" w:hAnsiTheme="minorHAnsi"/>
          <w:sz w:val="22"/>
          <w:szCs w:val="22"/>
        </w:rPr>
        <w:t>se refiere</w:t>
      </w:r>
      <w:r w:rsidRPr="00E35C0C">
        <w:rPr>
          <w:rFonts w:asciiTheme="minorHAnsi" w:hAnsiTheme="minorHAnsi"/>
          <w:sz w:val="22"/>
          <w:szCs w:val="22"/>
        </w:rPr>
        <w:t xml:space="preserve"> Aristóteles</w:t>
      </w:r>
      <w:r w:rsidR="00E35C0C">
        <w:rPr>
          <w:rFonts w:asciiTheme="minorHAnsi" w:hAnsiTheme="minorHAnsi"/>
          <w:sz w:val="22"/>
          <w:szCs w:val="22"/>
        </w:rPr>
        <w:t xml:space="preserve"> con las cosas que son</w:t>
      </w:r>
      <w:r w:rsidRPr="00E35C0C">
        <w:rPr>
          <w:rFonts w:asciiTheme="minorHAnsi" w:hAnsiTheme="minorHAnsi"/>
          <w:sz w:val="22"/>
          <w:szCs w:val="22"/>
        </w:rPr>
        <w:t xml:space="preserve"> simple y compuest</w:t>
      </w:r>
      <w:r w:rsidR="00E35C0C">
        <w:rPr>
          <w:rFonts w:asciiTheme="minorHAnsi" w:hAnsiTheme="minorHAnsi"/>
          <w:sz w:val="22"/>
          <w:szCs w:val="22"/>
        </w:rPr>
        <w:t>as; b)</w:t>
      </w:r>
      <w:r w:rsidRPr="00E35C0C">
        <w:rPr>
          <w:rFonts w:asciiTheme="minorHAnsi" w:hAnsiTheme="minorHAnsi"/>
          <w:sz w:val="22"/>
          <w:szCs w:val="22"/>
        </w:rPr>
        <w:t xml:space="preserve"> cuál es la relación entre ell</w:t>
      </w:r>
      <w:r w:rsidR="00E35C0C">
        <w:rPr>
          <w:rFonts w:asciiTheme="minorHAnsi" w:hAnsiTheme="minorHAnsi"/>
          <w:sz w:val="22"/>
          <w:szCs w:val="22"/>
        </w:rPr>
        <w:t>a</w:t>
      </w:r>
      <w:r w:rsidRPr="00E35C0C">
        <w:rPr>
          <w:rFonts w:asciiTheme="minorHAnsi" w:hAnsiTheme="minorHAnsi"/>
          <w:sz w:val="22"/>
          <w:szCs w:val="22"/>
        </w:rPr>
        <w:t>s</w:t>
      </w:r>
      <w:r w:rsidR="00E35C0C">
        <w:rPr>
          <w:rFonts w:asciiTheme="minorHAnsi" w:hAnsiTheme="minorHAnsi"/>
          <w:sz w:val="22"/>
          <w:szCs w:val="22"/>
        </w:rPr>
        <w:t>;</w:t>
      </w:r>
      <w:r w:rsidRPr="00E35C0C">
        <w:rPr>
          <w:rFonts w:asciiTheme="minorHAnsi" w:hAnsiTheme="minorHAnsi"/>
          <w:sz w:val="22"/>
          <w:szCs w:val="22"/>
        </w:rPr>
        <w:t xml:space="preserve"> y </w:t>
      </w:r>
      <w:r w:rsidR="00E35C0C">
        <w:rPr>
          <w:rFonts w:asciiTheme="minorHAnsi" w:hAnsiTheme="minorHAnsi"/>
          <w:sz w:val="22"/>
          <w:szCs w:val="22"/>
        </w:rPr>
        <w:t xml:space="preserve">c) </w:t>
      </w:r>
      <w:r w:rsidRPr="00E35C0C">
        <w:rPr>
          <w:rFonts w:asciiTheme="minorHAnsi" w:hAnsiTheme="minorHAnsi"/>
          <w:sz w:val="22"/>
          <w:szCs w:val="22"/>
        </w:rPr>
        <w:t>cómo se puede entender esta distinción en relación con el método y el objeto de investigación expuestos en el capítulo 1.</w:t>
      </w:r>
    </w:p>
    <w:p w:rsidR="00E35C0C" w:rsidRPr="00E35C0C" w:rsidRDefault="00F126E8"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Analice los ejemplos de generación de la casa y de la estatua en función de las nociones de “simple” y “compuesto”. ¿En qué sentido llama “orden” y “composición” a la generación en cada caso?</w:t>
      </w:r>
    </w:p>
    <w:p w:rsidR="00E35C0C" w:rsidRPr="00E35C0C" w:rsidRDefault="00F126E8"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¿Cuál es el acierto y el error de los predecesores?</w:t>
      </w:r>
    </w:p>
    <w:p w:rsidR="00E35C0C" w:rsidRPr="00E35C0C" w:rsidRDefault="001B7EB6"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Indique los diferentes pares de contrarios que Aristóteles enumera como principios postulados por sus predecesores. Señale en qué consiste la valoración de cada uno de ellos en función del criterio de Aristóteles.</w:t>
      </w:r>
    </w:p>
    <w:p w:rsidR="00F126E8" w:rsidRPr="00E35C0C" w:rsidRDefault="001B7EB6" w:rsidP="00E35C0C">
      <w:pPr>
        <w:pStyle w:val="NormalWeb"/>
        <w:numPr>
          <w:ilvl w:val="0"/>
          <w:numId w:val="1"/>
        </w:numPr>
        <w:shd w:val="clear" w:color="auto" w:fill="FFFFFF"/>
        <w:spacing w:before="120" w:beforeAutospacing="0" w:after="120" w:afterAutospacing="0" w:line="360" w:lineRule="auto"/>
        <w:ind w:left="-142" w:hanging="142"/>
        <w:jc w:val="both"/>
        <w:rPr>
          <w:rFonts w:asciiTheme="minorHAnsi" w:hAnsiTheme="minorHAnsi"/>
          <w:color w:val="222222"/>
          <w:sz w:val="22"/>
          <w:szCs w:val="22"/>
        </w:rPr>
      </w:pPr>
      <w:r w:rsidRPr="00E35C0C">
        <w:rPr>
          <w:rFonts w:asciiTheme="minorHAnsi" w:hAnsiTheme="minorHAnsi"/>
          <w:sz w:val="22"/>
          <w:szCs w:val="22"/>
        </w:rPr>
        <w:t>Desarrolle el método que Aristóteles propuso en el cap. 1 en función de las nociones de “simple”, “compuesto”, “universal”, “particular”, “cognoscible según la razón”, “cognoscible según la sensación”</w:t>
      </w:r>
      <w:r w:rsidR="00082B2C">
        <w:rPr>
          <w:rFonts w:asciiTheme="minorHAnsi" w:hAnsiTheme="minorHAnsi"/>
          <w:sz w:val="22"/>
          <w:szCs w:val="22"/>
        </w:rPr>
        <w:t>.</w:t>
      </w:r>
      <w:r w:rsidRPr="00E35C0C">
        <w:rPr>
          <w:rFonts w:asciiTheme="minorHAnsi" w:hAnsiTheme="minorHAnsi"/>
          <w:sz w:val="22"/>
          <w:szCs w:val="22"/>
        </w:rPr>
        <w:t xml:space="preserve">  </w:t>
      </w:r>
    </w:p>
    <w:sectPr w:rsidR="00F126E8" w:rsidRPr="00E35C0C" w:rsidSect="005B67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346"/>
    <w:multiLevelType w:val="hybridMultilevel"/>
    <w:tmpl w:val="D21ADD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126E8"/>
    <w:rsid w:val="00082B2C"/>
    <w:rsid w:val="000B1C01"/>
    <w:rsid w:val="001B7EB6"/>
    <w:rsid w:val="005B679A"/>
    <w:rsid w:val="00781EC8"/>
    <w:rsid w:val="00E35C0C"/>
    <w:rsid w:val="00F126E8"/>
    <w:rsid w:val="00FC140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26E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224</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2018-10-21T21:29:00Z</dcterms:created>
  <dcterms:modified xsi:type="dcterms:W3CDTF">2018-10-21T23:04:00Z</dcterms:modified>
</cp:coreProperties>
</file>